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AF50" w14:textId="77777777" w:rsidR="004870F5" w:rsidRDefault="004870F5">
      <w:pPr>
        <w:rPr>
          <w:rFonts w:ascii="Verdana" w:hAnsi="Verdana"/>
          <w:b/>
          <w:u w:val="single"/>
        </w:rPr>
      </w:pPr>
      <w:r w:rsidRPr="007D631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3BB448" wp14:editId="4828C62B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1409700" cy="141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YFC 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A90B6" w14:textId="77777777" w:rsidR="004870F5" w:rsidRDefault="004870F5">
      <w:pPr>
        <w:rPr>
          <w:rFonts w:ascii="Verdana" w:hAnsi="Verdana"/>
          <w:b/>
          <w:u w:val="single"/>
        </w:rPr>
      </w:pPr>
    </w:p>
    <w:p w14:paraId="016E919A" w14:textId="77777777" w:rsidR="004870F5" w:rsidRDefault="004870F5">
      <w:pPr>
        <w:rPr>
          <w:rFonts w:ascii="Verdana" w:hAnsi="Verdana"/>
          <w:b/>
          <w:u w:val="single"/>
        </w:rPr>
      </w:pPr>
    </w:p>
    <w:p w14:paraId="09D4819D" w14:textId="77777777" w:rsidR="004870F5" w:rsidRDefault="004870F5" w:rsidP="00ED66E4">
      <w:pPr>
        <w:spacing w:after="0"/>
        <w:rPr>
          <w:rFonts w:ascii="Verdana" w:hAnsi="Verdana"/>
          <w:b/>
          <w:u w:val="single"/>
        </w:rPr>
      </w:pPr>
    </w:p>
    <w:p w14:paraId="387D0E26" w14:textId="77777777" w:rsidR="00475A0C" w:rsidRDefault="00475A0C" w:rsidP="00ED66E4">
      <w:pPr>
        <w:spacing w:after="0"/>
        <w:rPr>
          <w:rFonts w:ascii="Verdana" w:hAnsi="Verdana"/>
          <w:b/>
          <w:u w:val="single"/>
        </w:rPr>
      </w:pPr>
    </w:p>
    <w:p w14:paraId="309489EE" w14:textId="77777777" w:rsidR="00475A0C" w:rsidRDefault="00475A0C" w:rsidP="00ED66E4">
      <w:pPr>
        <w:spacing w:after="0"/>
        <w:rPr>
          <w:rFonts w:ascii="Verdana" w:hAnsi="Verdana"/>
          <w:b/>
          <w:u w:val="single"/>
        </w:rPr>
      </w:pPr>
    </w:p>
    <w:p w14:paraId="4D7C4195" w14:textId="09B275DE" w:rsidR="00E010F2" w:rsidRPr="003F2A81" w:rsidRDefault="003F2A81" w:rsidP="00ED66E4">
      <w:pPr>
        <w:spacing w:after="0"/>
        <w:rPr>
          <w:rFonts w:ascii="Verdana" w:hAnsi="Verdana"/>
          <w:b/>
          <w:u w:val="single"/>
        </w:rPr>
      </w:pPr>
      <w:r w:rsidRPr="003F2A81">
        <w:rPr>
          <w:rFonts w:ascii="Verdana" w:hAnsi="Verdana"/>
          <w:b/>
          <w:u w:val="single"/>
        </w:rPr>
        <w:t>Fal</w:t>
      </w:r>
      <w:r w:rsidR="00E81553">
        <w:rPr>
          <w:rFonts w:ascii="Verdana" w:hAnsi="Verdana"/>
          <w:b/>
          <w:u w:val="single"/>
        </w:rPr>
        <w:t>mouth Community Youth Football C</w:t>
      </w:r>
      <w:r w:rsidRPr="003F2A81">
        <w:rPr>
          <w:rFonts w:ascii="Verdana" w:hAnsi="Verdana"/>
          <w:b/>
          <w:u w:val="single"/>
        </w:rPr>
        <w:t xml:space="preserve">lub </w:t>
      </w:r>
      <w:r w:rsidR="00952ED8">
        <w:rPr>
          <w:rFonts w:ascii="Verdana" w:hAnsi="Verdana"/>
          <w:b/>
          <w:u w:val="single"/>
        </w:rPr>
        <w:t>Equal Playing Time</w:t>
      </w:r>
      <w:r w:rsidRPr="003F2A81">
        <w:rPr>
          <w:rFonts w:ascii="Verdana" w:hAnsi="Verdana"/>
          <w:b/>
          <w:u w:val="single"/>
        </w:rPr>
        <w:t xml:space="preserve"> </w:t>
      </w:r>
      <w:r w:rsidR="001764A1">
        <w:rPr>
          <w:rFonts w:ascii="Verdana" w:hAnsi="Verdana"/>
          <w:b/>
          <w:u w:val="single"/>
        </w:rPr>
        <w:t>Guidance</w:t>
      </w:r>
    </w:p>
    <w:p w14:paraId="32ECCDF7" w14:textId="77777777" w:rsidR="00FD3A0E" w:rsidRDefault="00FD3A0E" w:rsidP="00952ED8">
      <w:pPr>
        <w:pStyle w:val="Body"/>
        <w:rPr>
          <w:rFonts w:ascii="Verdana" w:hAnsi="Verdana"/>
          <w:b/>
          <w:bCs/>
        </w:rPr>
      </w:pPr>
    </w:p>
    <w:p w14:paraId="41A65898" w14:textId="77777777" w:rsidR="00FD3A0E" w:rsidRDefault="00FD3A0E" w:rsidP="00952ED8">
      <w:pPr>
        <w:pStyle w:val="Body"/>
        <w:rPr>
          <w:rFonts w:ascii="Verdana" w:hAnsi="Verdana"/>
          <w:b/>
          <w:bCs/>
        </w:rPr>
      </w:pPr>
    </w:p>
    <w:p w14:paraId="25A18D39" w14:textId="77777777" w:rsidR="00952ED8" w:rsidRDefault="00952ED8" w:rsidP="00952ED8">
      <w:pPr>
        <w:pStyle w:val="Body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Club Ethos</w:t>
      </w:r>
    </w:p>
    <w:p w14:paraId="41B37A8E" w14:textId="77777777" w:rsidR="00952ED8" w:rsidRDefault="00952ED8" w:rsidP="00952ED8">
      <w:pPr>
        <w:pStyle w:val="Body"/>
        <w:rPr>
          <w:rFonts w:ascii="Verdana" w:hAnsi="Verdana"/>
          <w:bCs/>
        </w:rPr>
      </w:pPr>
      <w:r>
        <w:rPr>
          <w:rFonts w:ascii="Verdana" w:hAnsi="Verdana"/>
          <w:bCs/>
        </w:rPr>
        <w:t>Every player has the opportunity to play football in a safe environment with the correct level of challenge for them to develop to the best of their ability.</w:t>
      </w:r>
    </w:p>
    <w:p w14:paraId="1D7171EE" w14:textId="77777777" w:rsidR="00952ED8" w:rsidRPr="009C508F" w:rsidRDefault="00952ED8" w:rsidP="00952ED8">
      <w:pPr>
        <w:pStyle w:val="Body"/>
        <w:rPr>
          <w:rFonts w:ascii="Verdana" w:hAnsi="Verdana"/>
          <w:bCs/>
        </w:rPr>
      </w:pPr>
      <w:r>
        <w:rPr>
          <w:rFonts w:ascii="Verdana" w:hAnsi="Verdana"/>
          <w:bCs/>
        </w:rPr>
        <w:t>Football for all.</w:t>
      </w:r>
    </w:p>
    <w:p w14:paraId="242C70DC" w14:textId="77777777" w:rsidR="00FD3A0E" w:rsidRDefault="00FD3A0E" w:rsidP="00ED66E4">
      <w:pPr>
        <w:spacing w:after="0"/>
        <w:rPr>
          <w:rFonts w:ascii="Verdana" w:hAnsi="Verdana"/>
          <w:b/>
        </w:rPr>
      </w:pPr>
    </w:p>
    <w:p w14:paraId="57F260A4" w14:textId="77777777" w:rsidR="00FD3A0E" w:rsidRDefault="00FD3A0E" w:rsidP="00ED66E4">
      <w:pPr>
        <w:spacing w:after="0"/>
        <w:rPr>
          <w:rFonts w:ascii="Verdana" w:hAnsi="Verdana"/>
          <w:b/>
        </w:rPr>
      </w:pPr>
    </w:p>
    <w:p w14:paraId="087260AD" w14:textId="77777777" w:rsidR="00952ED8" w:rsidRPr="00952ED8" w:rsidRDefault="00952ED8" w:rsidP="00ED66E4">
      <w:pPr>
        <w:spacing w:after="0"/>
        <w:rPr>
          <w:rFonts w:ascii="Verdana" w:hAnsi="Verdana"/>
          <w:b/>
        </w:rPr>
      </w:pPr>
      <w:r w:rsidRPr="00952ED8">
        <w:rPr>
          <w:rFonts w:ascii="Verdana" w:hAnsi="Verdana"/>
          <w:b/>
        </w:rPr>
        <w:t>Equal Playing Time U6 – U11</w:t>
      </w:r>
    </w:p>
    <w:p w14:paraId="26F3924F" w14:textId="0DC91C16" w:rsidR="00952ED8" w:rsidRPr="00952ED8" w:rsidRDefault="009E13F6" w:rsidP="00ED66E4">
      <w:pPr>
        <w:spacing w:after="0"/>
        <w:rPr>
          <w:rFonts w:ascii="Verdana" w:hAnsi="Verdana"/>
        </w:rPr>
      </w:pPr>
      <w:r w:rsidRPr="00952ED8">
        <w:rPr>
          <w:rFonts w:ascii="Verdana" w:hAnsi="Verdana"/>
        </w:rPr>
        <w:t>Coaches and Managers of</w:t>
      </w:r>
      <w:r w:rsidR="00FD3A0E">
        <w:rPr>
          <w:rFonts w:ascii="Verdana" w:hAnsi="Verdana"/>
        </w:rPr>
        <w:t xml:space="preserve"> Under 6 to Under 11 teams </w:t>
      </w:r>
      <w:r w:rsidR="007B3761">
        <w:rPr>
          <w:rFonts w:ascii="Verdana" w:hAnsi="Verdana"/>
        </w:rPr>
        <w:t>will</w:t>
      </w:r>
      <w:r w:rsidR="00FD3A0E">
        <w:rPr>
          <w:rFonts w:ascii="Verdana" w:hAnsi="Verdana"/>
        </w:rPr>
        <w:t xml:space="preserve"> </w:t>
      </w:r>
      <w:r w:rsidR="007B3761">
        <w:rPr>
          <w:rFonts w:ascii="Verdana" w:hAnsi="Verdana"/>
        </w:rPr>
        <w:t>aim to achieve</w:t>
      </w:r>
      <w:r w:rsidRPr="00952ED8">
        <w:rPr>
          <w:rFonts w:ascii="Verdana" w:hAnsi="Verdana"/>
        </w:rPr>
        <w:t xml:space="preserve"> equal playing time for every game. </w:t>
      </w:r>
      <w:bookmarkStart w:id="0" w:name="_GoBack"/>
      <w:bookmarkEnd w:id="0"/>
    </w:p>
    <w:p w14:paraId="6940A2C9" w14:textId="77777777" w:rsidR="00FD3A0E" w:rsidRDefault="00FD3A0E" w:rsidP="00ED66E4">
      <w:pPr>
        <w:spacing w:after="0"/>
        <w:rPr>
          <w:rFonts w:ascii="Verdana" w:hAnsi="Verdana"/>
        </w:rPr>
      </w:pPr>
    </w:p>
    <w:p w14:paraId="6FB1DACC" w14:textId="77777777" w:rsidR="00952ED8" w:rsidRPr="00952ED8" w:rsidRDefault="009E13F6" w:rsidP="00ED66E4">
      <w:pPr>
        <w:spacing w:after="0"/>
        <w:rPr>
          <w:rFonts w:ascii="Verdana" w:hAnsi="Verdana"/>
        </w:rPr>
      </w:pPr>
      <w:r w:rsidRPr="00952ED8">
        <w:rPr>
          <w:rFonts w:ascii="Verdana" w:hAnsi="Verdana"/>
        </w:rPr>
        <w:t xml:space="preserve">The only exception is where a player is injured or does not want to play for whatever reason. </w:t>
      </w:r>
    </w:p>
    <w:p w14:paraId="1523C5E3" w14:textId="77777777" w:rsidR="00952ED8" w:rsidRDefault="00952ED8" w:rsidP="00ED66E4">
      <w:pPr>
        <w:spacing w:after="0"/>
      </w:pPr>
    </w:p>
    <w:p w14:paraId="186B6005" w14:textId="77777777" w:rsidR="00952ED8" w:rsidRDefault="00952ED8" w:rsidP="00ED66E4">
      <w:pPr>
        <w:spacing w:after="0"/>
      </w:pPr>
    </w:p>
    <w:p w14:paraId="6A4F6F63" w14:textId="77777777" w:rsidR="00952ED8" w:rsidRPr="00952ED8" w:rsidRDefault="00952ED8" w:rsidP="00ED66E4">
      <w:pPr>
        <w:spacing w:after="0"/>
        <w:rPr>
          <w:rFonts w:ascii="Verdana" w:hAnsi="Verdana"/>
          <w:b/>
        </w:rPr>
      </w:pPr>
      <w:r w:rsidRPr="00952ED8">
        <w:rPr>
          <w:rFonts w:ascii="Verdana" w:hAnsi="Verdana"/>
          <w:b/>
        </w:rPr>
        <w:t>Equal Playing Time U12 - U16</w:t>
      </w:r>
    </w:p>
    <w:p w14:paraId="0471256D" w14:textId="0C42E9E3" w:rsidR="00952ED8" w:rsidRDefault="009E13F6" w:rsidP="00ED66E4">
      <w:pPr>
        <w:spacing w:after="0"/>
        <w:rPr>
          <w:rFonts w:ascii="Verdana" w:hAnsi="Verdana"/>
        </w:rPr>
      </w:pPr>
      <w:r w:rsidRPr="00952ED8">
        <w:rPr>
          <w:rFonts w:ascii="Verdana" w:hAnsi="Verdana"/>
        </w:rPr>
        <w:t xml:space="preserve">Coaches and Managers of Under 12 to Under 16 teams </w:t>
      </w:r>
      <w:r w:rsidR="007B3761">
        <w:rPr>
          <w:rFonts w:ascii="Verdana" w:hAnsi="Verdana"/>
        </w:rPr>
        <w:t xml:space="preserve">will aim to achieve </w:t>
      </w:r>
      <w:r w:rsidRPr="00952ED8">
        <w:rPr>
          <w:rFonts w:ascii="Verdana" w:hAnsi="Verdana"/>
        </w:rPr>
        <w:t xml:space="preserve">equal playing time over the entire season. </w:t>
      </w:r>
    </w:p>
    <w:p w14:paraId="466A60A2" w14:textId="77777777" w:rsidR="007B3761" w:rsidRDefault="007B3761" w:rsidP="00ED66E4">
      <w:pPr>
        <w:spacing w:after="0"/>
        <w:rPr>
          <w:rFonts w:ascii="Verdana" w:hAnsi="Verdana"/>
        </w:rPr>
      </w:pPr>
    </w:p>
    <w:p w14:paraId="03B56EC3" w14:textId="45828E71" w:rsidR="00FD3A0E" w:rsidRDefault="00FD3A0E" w:rsidP="00FD3A0E">
      <w:pPr>
        <w:spacing w:after="0"/>
        <w:rPr>
          <w:rFonts w:ascii="Verdana" w:hAnsi="Verdana"/>
        </w:rPr>
      </w:pPr>
      <w:r>
        <w:rPr>
          <w:rFonts w:ascii="Verdana" w:hAnsi="Verdana"/>
        </w:rPr>
        <w:t>Coaches know their players best and will play them in matches where they will thrive to the best of their ability.  This can be achieved through league matches and friendlies</w:t>
      </w:r>
      <w:r w:rsidR="007B3761">
        <w:rPr>
          <w:rFonts w:ascii="Verdana" w:hAnsi="Verdana"/>
        </w:rPr>
        <w:t xml:space="preserve"> ensuring every player gets suitable match day experience</w:t>
      </w:r>
      <w:r>
        <w:rPr>
          <w:rFonts w:ascii="Verdana" w:hAnsi="Verdana"/>
        </w:rPr>
        <w:t>.</w:t>
      </w:r>
    </w:p>
    <w:p w14:paraId="6266F01A" w14:textId="77777777" w:rsidR="00FD3A0E" w:rsidRDefault="00FD3A0E" w:rsidP="00FD3A0E">
      <w:pPr>
        <w:spacing w:after="0"/>
        <w:rPr>
          <w:rFonts w:ascii="Verdana" w:hAnsi="Verdana"/>
        </w:rPr>
      </w:pPr>
    </w:p>
    <w:p w14:paraId="2215F74E" w14:textId="77777777" w:rsidR="00FD3A0E" w:rsidRDefault="00FD3A0E" w:rsidP="00FD3A0E">
      <w:pPr>
        <w:spacing w:after="0"/>
        <w:rPr>
          <w:rFonts w:ascii="Verdana" w:hAnsi="Verdana"/>
        </w:rPr>
      </w:pPr>
      <w:r>
        <w:rPr>
          <w:rFonts w:ascii="Verdana" w:hAnsi="Verdana"/>
        </w:rPr>
        <w:t>Extra factors to consider: injuries, work, school, social and other sporting commitments outside of football.</w:t>
      </w:r>
    </w:p>
    <w:p w14:paraId="3FBD275B" w14:textId="77777777" w:rsidR="00952ED8" w:rsidRDefault="00952ED8" w:rsidP="00ED66E4">
      <w:pPr>
        <w:spacing w:after="0"/>
        <w:rPr>
          <w:rFonts w:ascii="Verdana" w:hAnsi="Verdana"/>
        </w:rPr>
      </w:pPr>
    </w:p>
    <w:p w14:paraId="569B947D" w14:textId="77777777" w:rsidR="00FD3A0E" w:rsidRDefault="00FD3A0E" w:rsidP="00ED66E4">
      <w:pPr>
        <w:spacing w:after="0"/>
        <w:rPr>
          <w:rFonts w:ascii="Verdana" w:hAnsi="Verdana"/>
        </w:rPr>
      </w:pPr>
    </w:p>
    <w:p w14:paraId="299C75B9" w14:textId="77777777" w:rsidR="00FD3A0E" w:rsidRPr="00FD3A0E" w:rsidRDefault="00FD3A0E" w:rsidP="00ED66E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Communication is key</w:t>
      </w:r>
    </w:p>
    <w:p w14:paraId="725D0CC6" w14:textId="5F9DEA0C" w:rsidR="00FD3A0E" w:rsidRDefault="00FD3A0E" w:rsidP="00ED66E4">
      <w:pPr>
        <w:spacing w:after="0"/>
        <w:rPr>
          <w:rFonts w:ascii="Verdana" w:hAnsi="Verdana"/>
        </w:rPr>
      </w:pPr>
      <w:r w:rsidRPr="00FD3A0E">
        <w:rPr>
          <w:rFonts w:ascii="Verdana" w:hAnsi="Verdana"/>
        </w:rPr>
        <w:t xml:space="preserve">Good communication </w:t>
      </w:r>
      <w:r>
        <w:rPr>
          <w:rFonts w:ascii="Verdana" w:hAnsi="Verdana"/>
        </w:rPr>
        <w:t xml:space="preserve">is </w:t>
      </w:r>
      <w:r w:rsidRPr="00FD3A0E">
        <w:rPr>
          <w:rFonts w:ascii="Verdana" w:hAnsi="Verdana"/>
        </w:rPr>
        <w:t>essential</w:t>
      </w:r>
      <w:r>
        <w:rPr>
          <w:rFonts w:ascii="Verdana" w:hAnsi="Verdana"/>
        </w:rPr>
        <w:t xml:space="preserve"> between coaches, parents</w:t>
      </w:r>
      <w:r w:rsidR="007B3761">
        <w:rPr>
          <w:rFonts w:ascii="Verdana" w:hAnsi="Verdana"/>
        </w:rPr>
        <w:t>/guardians</w:t>
      </w:r>
      <w:r>
        <w:rPr>
          <w:rFonts w:ascii="Verdana" w:hAnsi="Verdana"/>
        </w:rPr>
        <w:t xml:space="preserve"> and players</w:t>
      </w:r>
      <w:r w:rsidRPr="00FD3A0E">
        <w:rPr>
          <w:rFonts w:ascii="Verdana" w:hAnsi="Verdana"/>
        </w:rPr>
        <w:t xml:space="preserve">.  </w:t>
      </w:r>
    </w:p>
    <w:p w14:paraId="76C00E93" w14:textId="77777777" w:rsidR="00FD3A0E" w:rsidRDefault="00FD3A0E" w:rsidP="00ED66E4">
      <w:pPr>
        <w:spacing w:after="0"/>
        <w:rPr>
          <w:rFonts w:ascii="Verdana" w:hAnsi="Verdana"/>
        </w:rPr>
      </w:pPr>
    </w:p>
    <w:p w14:paraId="40FC06FA" w14:textId="77777777" w:rsidR="00FD3A0E" w:rsidRDefault="00FD3A0E" w:rsidP="00ED66E4">
      <w:pPr>
        <w:spacing w:after="0"/>
        <w:rPr>
          <w:rFonts w:ascii="Verdana" w:hAnsi="Verdana"/>
        </w:rPr>
      </w:pPr>
    </w:p>
    <w:p w14:paraId="1FA47C1D" w14:textId="77777777" w:rsidR="00FD3A0E" w:rsidRDefault="00FD3A0E" w:rsidP="00ED66E4">
      <w:pPr>
        <w:spacing w:after="0"/>
        <w:rPr>
          <w:rFonts w:ascii="Verdana" w:hAnsi="Verdana"/>
        </w:rPr>
      </w:pPr>
    </w:p>
    <w:p w14:paraId="6CE336CE" w14:textId="77777777" w:rsidR="007B3761" w:rsidRDefault="007B3761" w:rsidP="00ED66E4">
      <w:pPr>
        <w:spacing w:after="0"/>
        <w:rPr>
          <w:rFonts w:ascii="Verdana" w:hAnsi="Verdana"/>
        </w:rPr>
      </w:pPr>
    </w:p>
    <w:p w14:paraId="047E38D5" w14:textId="77777777" w:rsidR="007B3761" w:rsidRDefault="007B3761" w:rsidP="00ED66E4">
      <w:pPr>
        <w:spacing w:after="0"/>
        <w:rPr>
          <w:rFonts w:ascii="Verdana" w:hAnsi="Verdana"/>
        </w:rPr>
      </w:pPr>
    </w:p>
    <w:p w14:paraId="1799A91F" w14:textId="77777777" w:rsidR="007B3761" w:rsidRDefault="007B3761" w:rsidP="00ED66E4">
      <w:pPr>
        <w:spacing w:after="0"/>
        <w:rPr>
          <w:rFonts w:ascii="Verdana" w:hAnsi="Verdana"/>
        </w:rPr>
      </w:pPr>
    </w:p>
    <w:p w14:paraId="170FE962" w14:textId="77777777" w:rsidR="007B3761" w:rsidRDefault="007B3761" w:rsidP="00ED66E4">
      <w:pPr>
        <w:spacing w:after="0"/>
        <w:rPr>
          <w:rFonts w:ascii="Verdana" w:hAnsi="Verdana"/>
        </w:rPr>
      </w:pPr>
    </w:p>
    <w:p w14:paraId="36EFB0A9" w14:textId="77777777" w:rsidR="007B3761" w:rsidRDefault="007B3761" w:rsidP="00ED66E4">
      <w:pPr>
        <w:spacing w:after="0"/>
        <w:rPr>
          <w:rFonts w:ascii="Verdana" w:hAnsi="Verdana"/>
        </w:rPr>
      </w:pPr>
    </w:p>
    <w:p w14:paraId="043A2F78" w14:textId="77777777" w:rsidR="00FD3A0E" w:rsidRPr="00FD3A0E" w:rsidRDefault="00FD3A0E" w:rsidP="00FD3A0E">
      <w:pPr>
        <w:spacing w:after="0"/>
        <w:rPr>
          <w:rFonts w:ascii="Verdana" w:hAnsi="Verdana"/>
        </w:rPr>
      </w:pPr>
      <w:r>
        <w:rPr>
          <w:rFonts w:ascii="Verdana" w:hAnsi="Verdana"/>
        </w:rPr>
        <w:t>*Please refer to the FA Guidelines on Equal Playing Time for more information.</w:t>
      </w:r>
    </w:p>
    <w:sectPr w:rsidR="00FD3A0E" w:rsidRPr="00FD3A0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080BA" w14:textId="77777777" w:rsidR="00754970" w:rsidRDefault="00754970" w:rsidP="007B3761">
      <w:pPr>
        <w:spacing w:after="0" w:line="240" w:lineRule="auto"/>
      </w:pPr>
      <w:r>
        <w:separator/>
      </w:r>
    </w:p>
  </w:endnote>
  <w:endnote w:type="continuationSeparator" w:id="0">
    <w:p w14:paraId="027781EE" w14:textId="77777777" w:rsidR="00754970" w:rsidRDefault="00754970" w:rsidP="007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53CB" w14:textId="77777777" w:rsidR="00754970" w:rsidRDefault="00754970" w:rsidP="007B3761">
      <w:pPr>
        <w:spacing w:after="0" w:line="240" w:lineRule="auto"/>
      </w:pPr>
      <w:r>
        <w:separator/>
      </w:r>
    </w:p>
  </w:footnote>
  <w:footnote w:type="continuationSeparator" w:id="0">
    <w:p w14:paraId="29E8373E" w14:textId="77777777" w:rsidR="00754970" w:rsidRDefault="00754970" w:rsidP="007B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F83E" w14:textId="6B082AC5" w:rsidR="007B3761" w:rsidRDefault="007B37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5DA8C0" wp14:editId="1C98D5B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FC065" w14:textId="6994AF0B" w:rsidR="007B3761" w:rsidRPr="007B3761" w:rsidRDefault="007B3761" w:rsidP="007B37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7B3761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5DA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PUBLIC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174FC065" w14:textId="6994AF0B" w:rsidR="007B3761" w:rsidRPr="007B3761" w:rsidRDefault="007B3761" w:rsidP="007B37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7B3761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375C" w14:textId="359E8259" w:rsidR="007B3761" w:rsidRDefault="007B37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FB5D83" wp14:editId="7DD89925">
              <wp:simplePos x="914400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4" name="Text Box 4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EBBC31" w14:textId="0C9F8356" w:rsidR="007B3761" w:rsidRPr="007B3761" w:rsidRDefault="007B3761" w:rsidP="007B37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7B3761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FB5D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formation Classification: PUBLIC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36EBBC31" w14:textId="0C9F8356" w:rsidR="007B3761" w:rsidRPr="007B3761" w:rsidRDefault="007B3761" w:rsidP="007B37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7B3761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045F" w14:textId="69CB6E11" w:rsidR="007B3761" w:rsidRDefault="007B37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4A756B" wp14:editId="0236E64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Text Box 1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5AF" w14:textId="66282B13" w:rsidR="007B3761" w:rsidRPr="007B3761" w:rsidRDefault="007B3761" w:rsidP="007B37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7B3761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4A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PUBLIC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68F3A5AF" w14:textId="66282B13" w:rsidR="007B3761" w:rsidRPr="007B3761" w:rsidRDefault="007B3761" w:rsidP="007B37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7B3761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D5B"/>
    <w:multiLevelType w:val="hybridMultilevel"/>
    <w:tmpl w:val="B6DA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6B1A"/>
    <w:multiLevelType w:val="hybridMultilevel"/>
    <w:tmpl w:val="26D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4CD5"/>
    <w:multiLevelType w:val="multilevel"/>
    <w:tmpl w:val="782A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17C7D"/>
    <w:multiLevelType w:val="hybridMultilevel"/>
    <w:tmpl w:val="121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B33"/>
    <w:multiLevelType w:val="hybridMultilevel"/>
    <w:tmpl w:val="ECF4D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06FD"/>
    <w:multiLevelType w:val="hybridMultilevel"/>
    <w:tmpl w:val="3C562678"/>
    <w:lvl w:ilvl="0" w:tplc="72BAC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1"/>
    <w:rsid w:val="00111553"/>
    <w:rsid w:val="00133DC9"/>
    <w:rsid w:val="001764A1"/>
    <w:rsid w:val="00311E01"/>
    <w:rsid w:val="003C4602"/>
    <w:rsid w:val="003F2A81"/>
    <w:rsid w:val="00475A0C"/>
    <w:rsid w:val="004870F5"/>
    <w:rsid w:val="005518B5"/>
    <w:rsid w:val="005645F3"/>
    <w:rsid w:val="00754970"/>
    <w:rsid w:val="007B3761"/>
    <w:rsid w:val="008902C1"/>
    <w:rsid w:val="00952ED8"/>
    <w:rsid w:val="009C428B"/>
    <w:rsid w:val="009E13F6"/>
    <w:rsid w:val="00AF74D4"/>
    <w:rsid w:val="00B603AC"/>
    <w:rsid w:val="00CC069F"/>
    <w:rsid w:val="00D31F80"/>
    <w:rsid w:val="00E010F2"/>
    <w:rsid w:val="00E81553"/>
    <w:rsid w:val="00ED66E4"/>
    <w:rsid w:val="00EF6DBD"/>
    <w:rsid w:val="00FA2A79"/>
    <w:rsid w:val="00FC752A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70A4"/>
  <w15:chartTrackingRefBased/>
  <w15:docId w15:val="{1C32B5CB-03C1-4C20-99BA-5644433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6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553"/>
    <w:pPr>
      <w:ind w:left="720"/>
      <w:contextualSpacing/>
    </w:pPr>
  </w:style>
  <w:style w:type="paragraph" w:customStyle="1" w:styleId="Body">
    <w:name w:val="Body"/>
    <w:rsid w:val="00952E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B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2024-03-11T13:44:00Z</dcterms:created>
  <dcterms:modified xsi:type="dcterms:W3CDTF">2024-04-19T11:10:00Z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Information Classification: PUBLIC</vt:lpwstr>
  </property>
  <property fmtid="{D5CDD505-2E9C-101B-9397-08002B2CF9AE}" pid="5" name="MSIP_Label_bee4c20f-5817-432f-84ac-80a373257ed1_Enabled">
    <vt:lpwstr>true</vt:lpwstr>
  </property>
  <property fmtid="{D5CDD505-2E9C-101B-9397-08002B2CF9AE}" pid="6" name="MSIP_Label_bee4c20f-5817-432f-84ac-80a373257ed1_SetDate">
    <vt:lpwstr>2024-03-11T13:39:54Z</vt:lpwstr>
  </property>
  <property fmtid="{D5CDD505-2E9C-101B-9397-08002B2CF9AE}" pid="7" name="MSIP_Label_bee4c20f-5817-432f-84ac-80a373257ed1_Method">
    <vt:lpwstr>Privileged</vt:lpwstr>
  </property>
  <property fmtid="{D5CDD505-2E9C-101B-9397-08002B2CF9AE}" pid="8" name="MSIP_Label_bee4c20f-5817-432f-84ac-80a373257ed1_Name">
    <vt:lpwstr>bee4c20f-5817-432f-84ac-80a373257ed1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ActionId">
    <vt:lpwstr>68b25dcd-0c9f-4456-a1c9-ece54b88c12f</vt:lpwstr>
  </property>
  <property fmtid="{D5CDD505-2E9C-101B-9397-08002B2CF9AE}" pid="11" name="MSIP_Label_bee4c20f-5817-432f-84ac-80a373257ed1_ContentBits">
    <vt:lpwstr>1</vt:lpwstr>
  </property>
</Properties>
</file>